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46055D">
              <w:rPr>
                <w:b/>
                <w:lang w:val="ru-RU"/>
              </w:rPr>
              <w:t>20</w:t>
            </w:r>
            <w:r w:rsidRPr="006B11EF">
              <w:rPr>
                <w:b/>
                <w:lang w:val="ru-RU"/>
              </w:rPr>
              <w:t>»</w:t>
            </w:r>
            <w:r w:rsidR="00B91116">
              <w:rPr>
                <w:b/>
                <w:lang w:val="ru-RU"/>
              </w:rPr>
              <w:t xml:space="preserve"> ма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9060FA">
        <w:rPr>
          <w:b/>
          <w:i/>
          <w:spacing w:val="-6"/>
        </w:rPr>
        <w:t>«</w:t>
      </w:r>
      <w:r w:rsidR="009060FA" w:rsidRPr="009060FA">
        <w:rPr>
          <w:i/>
          <w:spacing w:val="-6"/>
        </w:rPr>
        <w:t>Опыт первых шагов школы в смешанное обучение</w:t>
      </w:r>
      <w:r w:rsidR="00F819FB" w:rsidRPr="009060FA">
        <w:rPr>
          <w:i/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46055D">
        <w:rPr>
          <w:b/>
          <w:lang w:val="ru-RU"/>
        </w:rPr>
        <w:t>20</w:t>
      </w:r>
      <w:r w:rsidR="00B91116">
        <w:rPr>
          <w:b/>
          <w:lang w:val="ru-RU"/>
        </w:rPr>
        <w:t>.05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082AF5" w:rsidRDefault="00082AF5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82AF5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6055D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7504C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7F1533"/>
    <w:rsid w:val="00832CE2"/>
    <w:rsid w:val="00835C07"/>
    <w:rsid w:val="008649D0"/>
    <w:rsid w:val="008B717A"/>
    <w:rsid w:val="008E47C8"/>
    <w:rsid w:val="008F4203"/>
    <w:rsid w:val="008F723D"/>
    <w:rsid w:val="009060FA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60</cp:revision>
  <cp:lastPrinted>2020-11-25T08:59:00Z</cp:lastPrinted>
  <dcterms:created xsi:type="dcterms:W3CDTF">2020-09-29T06:35:00Z</dcterms:created>
  <dcterms:modified xsi:type="dcterms:W3CDTF">2021-04-29T07:36:00Z</dcterms:modified>
</cp:coreProperties>
</file>